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  <w:t>宁夏黄河农村商业银行股份有限公司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  <w:t>第</w:t>
      </w: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  <w:lang w:eastAsia="zh-CN"/>
        </w:rPr>
        <w:t>五</w:t>
      </w: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  <w:t>届董事会第</w:t>
      </w: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  <w:lang w:val="en-US" w:eastAsia="zh-CN"/>
        </w:rPr>
        <w:t>三十</w:t>
      </w: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_GBK" w:hAnsi="Arial" w:eastAsia="方正小标宋_GBK" w:cs="Arial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  <w:lang w:eastAsia="zh-CN"/>
        </w:rPr>
        <w:t>（</w:t>
      </w: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  <w:lang w:val="en-US" w:eastAsia="zh-CN"/>
        </w:rPr>
        <w:t>临时会议</w:t>
      </w: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  <w:lang w:eastAsia="zh-CN"/>
        </w:rPr>
        <w:t>）</w:t>
      </w:r>
      <w:r>
        <w:rPr>
          <w:rFonts w:hint="eastAsia" w:ascii="方正小标宋_GBK" w:hAnsi="Arial" w:eastAsia="方正小标宋_GBK" w:cs="Arial"/>
          <w:bCs/>
          <w:color w:val="000000"/>
          <w:kern w:val="36"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_GBK" w:hAnsi="Arial" w:eastAsia="方正小标宋_GBK" w:cs="Arial"/>
          <w:bCs/>
          <w:color w:val="000000"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202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月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日，宁夏黄河农村商业银行股份有限公司召开第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届董事会第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三十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次会议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临时会议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。会议的召开与表决程序符合《公司法》及本行《章程》规定，表决结果合法有效。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经与会董事审议、表决，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审议通过了如下议案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一、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关于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审议《黄河农村商业银行薪酬管理基本制度》的议案；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关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于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 xml:space="preserve">审议《黄河农村商业银行职级管理办法（试行）》的议案；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关于聘任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隋生秀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为黄河农村商业银行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首席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合规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官（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兼任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的议案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t>。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eastAsia="zh-CN"/>
        </w:rPr>
        <w:br w:type="textWrapping"/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 xml:space="preserve">特此公告。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00" w:firstLineChars="11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00" w:firstLineChars="11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宁夏黄河农村商业银行股份有限公司董事会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 xml:space="preserve">                         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202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年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月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color w:val="000000"/>
          <w:spacing w:val="0"/>
          <w:kern w:val="0"/>
          <w:sz w:val="30"/>
          <w:szCs w:val="30"/>
        </w:rPr>
        <w:t>日</w:t>
      </w:r>
    </w:p>
    <w:p/>
    <w:sectPr>
      <w:footerReference r:id="rId3" w:type="default"/>
      <w:pgSz w:w="11906" w:h="16838"/>
      <w:pgMar w:top="1701" w:right="1417" w:bottom="1701" w:left="141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3FBB"/>
    <w:rsid w:val="5D5D1F06"/>
    <w:rsid w:val="62970912"/>
    <w:rsid w:val="730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 w:line="560" w:lineRule="exact"/>
      <w:ind w:firstLine="200" w:firstLineChars="200"/>
    </w:pPr>
    <w:rPr>
      <w:szCs w:val="21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惠怀伟</cp:lastModifiedBy>
  <dcterms:modified xsi:type="dcterms:W3CDTF">2025-10-20T08:03:46Z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